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EA8DF" w14:textId="77777777" w:rsidR="004D5818" w:rsidRPr="00381A0B" w:rsidRDefault="004D5818" w:rsidP="004D5818">
      <w:pPr>
        <w:spacing w:before="100" w:beforeAutospacing="1" w:after="100" w:afterAutospacing="1" w:line="259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60525BB0" w14:textId="77777777" w:rsidR="0086140E" w:rsidRPr="00381A0B" w:rsidRDefault="0086140E" w:rsidP="0086140E">
      <w:pPr>
        <w:spacing w:line="259" w:lineRule="auto"/>
        <w:jc w:val="right"/>
        <w:rPr>
          <w:rFonts w:eastAsia="Times New Roman" w:cstheme="minorHAnsi"/>
          <w:b/>
          <w:kern w:val="0"/>
          <w:sz w:val="20"/>
          <w:szCs w:val="20"/>
          <w14:ligatures w14:val="none"/>
        </w:rPr>
      </w:pPr>
      <w:bookmarkStart w:id="0" w:name="_Hlk194580155"/>
      <w:r w:rsidRPr="00381A0B">
        <w:rPr>
          <w:rFonts w:eastAsia="Times New Roman" w:cstheme="minorHAnsi"/>
          <w:b/>
          <w:kern w:val="0"/>
          <w:sz w:val="20"/>
          <w:szCs w:val="20"/>
          <w14:ligatures w14:val="none"/>
        </w:rPr>
        <w:t>Załącznik nr 5 do Zapytania ofertowego</w:t>
      </w:r>
    </w:p>
    <w:p w14:paraId="529447E0" w14:textId="77777777" w:rsidR="0086140E" w:rsidRPr="00381A0B" w:rsidRDefault="0086140E" w:rsidP="0086140E">
      <w:pPr>
        <w:spacing w:after="0" w:line="259" w:lineRule="auto"/>
        <w:jc w:val="center"/>
        <w:rPr>
          <w:rFonts w:cstheme="minorHAnsi"/>
          <w:b/>
          <w:kern w:val="0"/>
          <w:sz w:val="20"/>
          <w:szCs w:val="20"/>
          <w14:ligatures w14:val="none"/>
        </w:rPr>
      </w:pPr>
      <w:r w:rsidRPr="00381A0B">
        <w:rPr>
          <w:rFonts w:cstheme="minorHAnsi"/>
          <w:b/>
          <w:kern w:val="0"/>
          <w:sz w:val="20"/>
          <w:szCs w:val="20"/>
          <w14:ligatures w14:val="none"/>
        </w:rPr>
        <w:t>PARAMETRY TECHNICZNO-UŻYTKOWE PRZEDMIOTU ZAMÓWIENIA</w:t>
      </w:r>
      <w:bookmarkEnd w:id="0"/>
    </w:p>
    <w:p w14:paraId="1D964D85" w14:textId="77777777" w:rsidR="0086140E" w:rsidRPr="00381A0B" w:rsidRDefault="0086140E" w:rsidP="0086140E">
      <w:pPr>
        <w:spacing w:line="259" w:lineRule="auto"/>
        <w:jc w:val="center"/>
        <w:rPr>
          <w:rFonts w:cstheme="minorHAnsi"/>
          <w:kern w:val="0"/>
          <w:sz w:val="20"/>
          <w:szCs w:val="20"/>
          <w14:ligatures w14:val="none"/>
        </w:rPr>
      </w:pPr>
      <w:bookmarkStart w:id="1" w:name="_Hlk75784082"/>
      <w:r w:rsidRPr="00381A0B">
        <w:rPr>
          <w:rFonts w:cstheme="minorHAnsi"/>
          <w:kern w:val="0"/>
          <w:sz w:val="20"/>
          <w:szCs w:val="20"/>
          <w14:ligatures w14:val="none"/>
        </w:rPr>
        <w:t>(należy potwierdzić spełnienie parametrów technicznych)</w:t>
      </w:r>
    </w:p>
    <w:tbl>
      <w:tblPr>
        <w:tblW w:w="9209" w:type="dxa"/>
        <w:tblLayout w:type="fixed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418"/>
        <w:gridCol w:w="3827"/>
        <w:gridCol w:w="1701"/>
        <w:gridCol w:w="1701"/>
      </w:tblGrid>
      <w:tr w:rsidR="0086140E" w:rsidRPr="00381A0B" w14:paraId="55DCB1B2" w14:textId="77777777" w:rsidTr="00F60146">
        <w:trPr>
          <w:trHeight w:val="1455"/>
        </w:trPr>
        <w:tc>
          <w:tcPr>
            <w:tcW w:w="5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2A28A56F" w14:textId="77777777" w:rsidR="0086140E" w:rsidRPr="00381A0B" w:rsidRDefault="0086140E" w:rsidP="00F6014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cstheme="minorHAnsi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Wymagane parametry przez Zamawiającego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745F5D0D" w14:textId="77777777" w:rsidR="0086140E" w:rsidRPr="00381A0B" w:rsidRDefault="0086140E" w:rsidP="00F6014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cstheme="minorHAnsi"/>
                <w:b/>
                <w:color w:val="000000" w:themeColor="text1"/>
                <w:kern w:val="0"/>
                <w:sz w:val="20"/>
                <w:szCs w:val="20"/>
                <w14:ligatures w14:val="none"/>
              </w:rPr>
              <w:t>Potwierdzenie zaoferowania parametrów przez Wykonawcę poprzez wpisanie odpowiednio TAK/NIE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0981B1BD" w14:textId="77777777" w:rsidR="0086140E" w:rsidRPr="00381A0B" w:rsidRDefault="0086140E" w:rsidP="00F60146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81A0B">
              <w:rPr>
                <w:rFonts w:eastAsia="Times New Roman" w:cstheme="minorHAnsi"/>
                <w:b/>
                <w:color w:val="000000" w:themeColor="text1"/>
                <w:kern w:val="0"/>
                <w:sz w:val="20"/>
                <w:szCs w:val="20"/>
                <w:lang w:eastAsia="pl-PL"/>
                <w14:ligatures w14:val="none"/>
              </w:rPr>
              <w:t xml:space="preserve">Uwagi </w:t>
            </w:r>
          </w:p>
          <w:p w14:paraId="4F8C566F" w14:textId="77777777" w:rsidR="0086140E" w:rsidRPr="00381A0B" w:rsidRDefault="0086140E" w:rsidP="00F6014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cstheme="minorHAnsi"/>
                <w:b/>
                <w:color w:val="000000"/>
                <w:kern w:val="0"/>
                <w:sz w:val="20"/>
                <w:szCs w:val="20"/>
                <w14:ligatures w14:val="none"/>
              </w:rPr>
              <w:t>(numer strony i punktu w dodatkowej specyfikacji technicznej); numer katalogowy</w:t>
            </w:r>
          </w:p>
        </w:tc>
      </w:tr>
      <w:tr w:rsidR="0086140E" w:rsidRPr="00381A0B" w14:paraId="3FD4FC35" w14:textId="77777777" w:rsidTr="00F60146">
        <w:trPr>
          <w:trHeight w:val="300"/>
        </w:trPr>
        <w:tc>
          <w:tcPr>
            <w:tcW w:w="920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E99DD8C" w14:textId="77777777" w:rsidR="0086140E" w:rsidRPr="00381A0B" w:rsidRDefault="0086140E" w:rsidP="00F60146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  <w:t>CZĘŚĆ 1</w:t>
            </w:r>
          </w:p>
        </w:tc>
      </w:tr>
      <w:tr w:rsidR="00342542" w:rsidRPr="00381A0B" w14:paraId="5A273A5E" w14:textId="77777777" w:rsidTr="00342542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68DC4781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B17E" w14:textId="77777777" w:rsidR="00342542" w:rsidRPr="00342542" w:rsidRDefault="00342542" w:rsidP="0034254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DF3C18" w14:textId="77777777" w:rsidR="00342542" w:rsidRPr="00342542" w:rsidRDefault="00342542" w:rsidP="00342542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110802" w14:textId="77777777" w:rsidR="00342542" w:rsidRPr="00342542" w:rsidRDefault="00342542" w:rsidP="00342542">
            <w:pPr>
              <w:pStyle w:val="TableParagraph"/>
              <w:spacing w:before="149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0D39D76" w14:textId="086D23C6" w:rsidR="00342542" w:rsidRPr="00342542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42542">
              <w:rPr>
                <w:rFonts w:cstheme="minorHAnsi"/>
                <w:sz w:val="18"/>
                <w:szCs w:val="18"/>
              </w:rPr>
              <w:t>Statywy na probówki 1,5-2,0 ml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3148B" w14:textId="5E021DBF" w:rsidR="00342542" w:rsidRPr="00342542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42542">
              <w:rPr>
                <w:rFonts w:cstheme="minorHAnsi"/>
                <w:sz w:val="18"/>
                <w:szCs w:val="18"/>
              </w:rPr>
              <w:t xml:space="preserve">Statyw laboratoryjny przeznaczony do przechowywania probówek o pojemności 1,5/2,0 ml. Wykonany z trwałego tworzywa sztucznego odpornego na standardowe odczynniki laboratoryjne. Zapewnia stabilne, pionowe ustawienie probówek oraz łatwy dostęp do próbek podczas pracy. Przeznaczony do rutynowych zastosowań w laboratoriach badawczych i diagnostycznych. Układ 5x16 probówek. Mogą być przechowywane w zamrażarce oraz podlegać sterylizacji w autoklawie.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87D9AF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B6E976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5874CACA" w14:textId="77777777" w:rsidTr="00342542"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B5BEE5" w14:textId="5F10A728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C18C8" w14:textId="77777777" w:rsidR="00342542" w:rsidRPr="00342542" w:rsidRDefault="00342542" w:rsidP="00342542">
            <w:pPr>
              <w:pStyle w:val="TableParagraph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342542">
              <w:rPr>
                <w:rFonts w:asciiTheme="minorHAnsi" w:hAnsiTheme="minorHAnsi" w:cstheme="minorHAnsi"/>
                <w:sz w:val="18"/>
                <w:szCs w:val="18"/>
              </w:rPr>
              <w:t>Statywy na probówki 1,5-2,0 ml</w:t>
            </w:r>
          </w:p>
          <w:p w14:paraId="3669584B" w14:textId="77777777" w:rsidR="00342542" w:rsidRPr="00342542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D0DE4" w14:textId="268F75D1" w:rsidR="00342542" w:rsidRPr="00342542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42542">
              <w:rPr>
                <w:rFonts w:cstheme="minorHAnsi"/>
                <w:sz w:val="18"/>
                <w:szCs w:val="18"/>
              </w:rPr>
              <w:t>Statyw laboratoryjny przeznaczony do przechowywania probówek o pojemności 1,5/2,0 ml. Wykonany z trwałego tworzywa sztucznego odpornego na standardowe odczynniki laboratoryjne. Zapewnia stabilne, pionowe ustawienie probówek oraz łatwy dostęp do próbek podczas pracy. Przeznaczony do rutynowych zastosowań w laboratoriach badawczych i diagnostycznych. Układ 3x12 probówek. Mogą być przechowywane w zamrażarce oraz podlegać sterylizacji w autoklawie.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BA92BC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C04E7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433668CB" w14:textId="77777777" w:rsidTr="00342542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EB6A3B" w14:textId="1CE98BFD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9F80" w14:textId="77777777" w:rsidR="00342542" w:rsidRPr="00342542" w:rsidRDefault="00342542" w:rsidP="00342542">
            <w:pPr>
              <w:pStyle w:val="TableParagraph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342542">
              <w:rPr>
                <w:rFonts w:asciiTheme="minorHAnsi" w:hAnsiTheme="minorHAnsi" w:cstheme="minorHAnsi"/>
                <w:sz w:val="18"/>
                <w:szCs w:val="18"/>
              </w:rPr>
              <w:t>Statywy na probówki 15 ml</w:t>
            </w:r>
          </w:p>
          <w:p w14:paraId="20572C28" w14:textId="77777777" w:rsidR="00342542" w:rsidRPr="00342542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E3C5" w14:textId="77777777" w:rsidR="00342542" w:rsidRPr="00342542" w:rsidRDefault="00342542" w:rsidP="00342542">
            <w:pPr>
              <w:pStyle w:val="TableParagraph"/>
              <w:spacing w:before="1" w:line="266" w:lineRule="exac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342542">
              <w:rPr>
                <w:rFonts w:asciiTheme="minorHAnsi" w:hAnsiTheme="minorHAnsi" w:cstheme="minorHAnsi"/>
                <w:sz w:val="18"/>
                <w:szCs w:val="18"/>
              </w:rPr>
              <w:t xml:space="preserve">Statyw laboratoryjny przeznaczony do przechowywania probówek o pojemności 15 ml. Wykonany z trwałego tworzywa sztucznego odpornego na standardowe odczynniki laboratoryjne. Zapewnia stabilne, pionowe ustawienie probówek oraz łatwy dostęp do próbek podczas pracy. Przeznaczony do rutynowych zastosowań w laboratoriach badawczych i diagnostycznych. Statyw posiada min. 50 miejsc na tego typu probówki. </w:t>
            </w:r>
          </w:p>
          <w:p w14:paraId="4B45C263" w14:textId="77777777" w:rsidR="00342542" w:rsidRPr="00342542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E3F3139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028B4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3E251F3A" w14:textId="77777777" w:rsidTr="00342542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B26DB" w14:textId="46AC3650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4.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B01E" w14:textId="77777777" w:rsidR="00342542" w:rsidRPr="00342542" w:rsidRDefault="00342542" w:rsidP="00342542">
            <w:pPr>
              <w:pStyle w:val="TableParagraph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342542">
              <w:rPr>
                <w:rFonts w:asciiTheme="minorHAnsi" w:hAnsiTheme="minorHAnsi" w:cstheme="minorHAnsi"/>
                <w:sz w:val="18"/>
                <w:szCs w:val="18"/>
              </w:rPr>
              <w:t>Statywy na probówki 50 ml</w:t>
            </w:r>
          </w:p>
          <w:p w14:paraId="496E7188" w14:textId="77777777" w:rsidR="00342542" w:rsidRPr="00342542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478B" w14:textId="77777777" w:rsidR="00342542" w:rsidRPr="00342542" w:rsidRDefault="00342542" w:rsidP="00342542">
            <w:pPr>
              <w:pStyle w:val="TableParagraph"/>
              <w:spacing w:before="1" w:line="266" w:lineRule="exact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342542">
              <w:rPr>
                <w:rFonts w:asciiTheme="minorHAnsi" w:hAnsiTheme="minorHAnsi" w:cstheme="minorHAnsi"/>
                <w:sz w:val="18"/>
                <w:szCs w:val="18"/>
              </w:rPr>
              <w:t xml:space="preserve">Statyw laboratoryjny przeznaczony do przechowywania probówek o pojemności 50 ml. Wykonany z trwałego tworzywa sztucznego odpornego na standardowe odczynniki laboratoryjne. Zapewnia stabilne, pionowe ustawienie probówek oraz łatwy dostęp do próbek podczas pracy. Przeznaczony do rutynowych zastosowań w laboratoriach </w:t>
            </w:r>
            <w:r w:rsidRPr="00342542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badawczych i diagnostycznych. Statyw posiada min. 25 miejsc na tego typu probówki.</w:t>
            </w:r>
          </w:p>
          <w:p w14:paraId="2D063D4F" w14:textId="77777777" w:rsidR="00342542" w:rsidRPr="00342542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36ABD70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F2654E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39F8FC9A" w14:textId="77777777" w:rsidTr="00342542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C43473B" w14:textId="57AC66E4" w:rsidR="00342542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659DD" w14:textId="77777777" w:rsidR="00342542" w:rsidRPr="00342542" w:rsidRDefault="00342542" w:rsidP="00342542">
            <w:pPr>
              <w:pStyle w:val="TableParagraph"/>
              <w:ind w:left="71"/>
              <w:rPr>
                <w:rFonts w:asciiTheme="minorHAnsi" w:hAnsiTheme="minorHAnsi" w:cstheme="minorHAnsi"/>
                <w:sz w:val="18"/>
                <w:szCs w:val="18"/>
              </w:rPr>
            </w:pPr>
            <w:r w:rsidRPr="00342542">
              <w:rPr>
                <w:rFonts w:asciiTheme="minorHAnsi" w:hAnsiTheme="minorHAnsi" w:cstheme="minorHAnsi"/>
                <w:sz w:val="18"/>
                <w:szCs w:val="18"/>
              </w:rPr>
              <w:t xml:space="preserve">Statywy na probówki </w:t>
            </w:r>
            <w:proofErr w:type="spellStart"/>
            <w:r w:rsidRPr="00342542">
              <w:rPr>
                <w:rFonts w:asciiTheme="minorHAnsi" w:hAnsiTheme="minorHAnsi" w:cstheme="minorHAnsi"/>
                <w:sz w:val="18"/>
                <w:szCs w:val="18"/>
              </w:rPr>
              <w:t>cytometryczne</w:t>
            </w:r>
            <w:proofErr w:type="spellEnd"/>
            <w:r w:rsidRPr="00342542">
              <w:rPr>
                <w:rFonts w:asciiTheme="minorHAnsi" w:hAnsiTheme="minorHAnsi" w:cstheme="minorHAnsi"/>
                <w:sz w:val="18"/>
                <w:szCs w:val="18"/>
              </w:rPr>
              <w:t xml:space="preserve"> 75x12mm</w:t>
            </w:r>
          </w:p>
          <w:p w14:paraId="5C10584E" w14:textId="77777777" w:rsidR="00342542" w:rsidRPr="00342542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8992D" w14:textId="07B2603C" w:rsidR="00342542" w:rsidRPr="00342542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42542">
              <w:rPr>
                <w:rFonts w:cstheme="minorHAnsi"/>
                <w:sz w:val="18"/>
                <w:szCs w:val="18"/>
              </w:rPr>
              <w:t xml:space="preserve">Statyw laboratoryjny przeznaczony do przechowywania probówek </w:t>
            </w:r>
            <w:proofErr w:type="spellStart"/>
            <w:r w:rsidRPr="00342542">
              <w:rPr>
                <w:rFonts w:cstheme="minorHAnsi"/>
                <w:sz w:val="18"/>
                <w:szCs w:val="18"/>
              </w:rPr>
              <w:t>cytrometrycznych</w:t>
            </w:r>
            <w:proofErr w:type="spellEnd"/>
            <w:r w:rsidRPr="00342542">
              <w:rPr>
                <w:rFonts w:cstheme="minorHAnsi"/>
                <w:sz w:val="18"/>
                <w:szCs w:val="18"/>
              </w:rPr>
              <w:t xml:space="preserve">. Wykonany z trwałego tworzywa sztucznego odpornego na standardowe odczynniki laboratoryjne. </w:t>
            </w:r>
            <w:proofErr w:type="spellStart"/>
            <w:r w:rsidRPr="00342542">
              <w:rPr>
                <w:rFonts w:cstheme="minorHAnsi"/>
                <w:sz w:val="18"/>
                <w:szCs w:val="18"/>
              </w:rPr>
              <w:t>Autoklawowalne</w:t>
            </w:r>
            <w:proofErr w:type="spellEnd"/>
            <w:r w:rsidRPr="00342542">
              <w:rPr>
                <w:rFonts w:cstheme="minorHAnsi"/>
                <w:sz w:val="18"/>
                <w:szCs w:val="18"/>
              </w:rPr>
              <w:t xml:space="preserve">. Zapewnia stabilne, pionowe ustawienie probówek oraz łatwy dostęp do próbek podczas pracy. Przeznaczony do rutynowych zastosowań w laboratoriach badawczych i diagnostycznych. Statyw mieści 90 probówek.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B94252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1F7B8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07F93738" w14:textId="77777777" w:rsidTr="00342542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3B57F85" w14:textId="0BF40BC7" w:rsidR="00342542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6.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08FA" w14:textId="61229551" w:rsidR="00342542" w:rsidRPr="00342542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42542">
              <w:rPr>
                <w:rFonts w:eastAsia="Aptos Narrow" w:cstheme="minorHAnsi"/>
                <w:color w:val="000000" w:themeColor="text1"/>
                <w:sz w:val="18"/>
                <w:szCs w:val="18"/>
              </w:rPr>
              <w:t xml:space="preserve">Sterylne probówki </w:t>
            </w:r>
            <w:proofErr w:type="spellStart"/>
            <w:r w:rsidRPr="00342542">
              <w:rPr>
                <w:rFonts w:eastAsia="Aptos Narrow" w:cstheme="minorHAnsi"/>
                <w:color w:val="000000" w:themeColor="text1"/>
                <w:sz w:val="18"/>
                <w:szCs w:val="18"/>
              </w:rPr>
              <w:t>okrągłodenne</w:t>
            </w:r>
            <w:proofErr w:type="spellEnd"/>
            <w:r w:rsidRPr="00342542">
              <w:rPr>
                <w:rFonts w:eastAsia="Aptos Narrow" w:cstheme="minorHAnsi"/>
                <w:color w:val="000000" w:themeColor="text1"/>
                <w:sz w:val="18"/>
                <w:szCs w:val="18"/>
              </w:rPr>
              <w:t xml:space="preserve"> 75x12mm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3BBB" w14:textId="06C7351F" w:rsidR="00342542" w:rsidRPr="00342542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342542">
              <w:rPr>
                <w:rFonts w:eastAsia="Aptos Narrow" w:cstheme="minorHAnsi"/>
                <w:color w:val="000000" w:themeColor="text1"/>
                <w:sz w:val="18"/>
                <w:szCs w:val="18"/>
              </w:rPr>
              <w:t xml:space="preserve">Probówki </w:t>
            </w:r>
            <w:proofErr w:type="spellStart"/>
            <w:r w:rsidRPr="00342542">
              <w:rPr>
                <w:rFonts w:eastAsia="Aptos Narrow" w:cstheme="minorHAnsi"/>
                <w:color w:val="000000" w:themeColor="text1"/>
                <w:sz w:val="18"/>
                <w:szCs w:val="18"/>
              </w:rPr>
              <w:t>okrągłodenne</w:t>
            </w:r>
            <w:proofErr w:type="spellEnd"/>
            <w:r w:rsidRPr="00342542">
              <w:rPr>
                <w:rFonts w:eastAsia="Aptos Narrow" w:cstheme="minorHAnsi"/>
                <w:color w:val="000000" w:themeColor="text1"/>
                <w:sz w:val="18"/>
                <w:szCs w:val="18"/>
              </w:rPr>
              <w:t xml:space="preserve"> o wymiarach 12x75mm, wykonane z polipropylenu lub polistyrenu. O całkowitej objętości min. 5ml, bez skali. Kompatybilne z urządzeniem </w:t>
            </w:r>
            <w:proofErr w:type="spellStart"/>
            <w:r w:rsidRPr="00342542">
              <w:rPr>
                <w:rFonts w:eastAsia="Aptos Narrow" w:cstheme="minorHAnsi"/>
                <w:color w:val="000000" w:themeColor="text1"/>
                <w:sz w:val="18"/>
                <w:szCs w:val="18"/>
              </w:rPr>
              <w:t>CytoFLEX</w:t>
            </w:r>
            <w:proofErr w:type="spellEnd"/>
            <w:r w:rsidRPr="00342542">
              <w:rPr>
                <w:rFonts w:eastAsia="Aptos Narrow" w:cstheme="minorHAnsi"/>
                <w:color w:val="000000" w:themeColor="text1"/>
                <w:sz w:val="18"/>
                <w:szCs w:val="18"/>
              </w:rPr>
              <w:t xml:space="preserve"> SRT będącym w posiadaniu zamawiającego. Posiadające zamknięcia/zatyczki zabezpieczające probówki przez </w:t>
            </w:r>
            <w:proofErr w:type="spellStart"/>
            <w:r w:rsidRPr="00342542">
              <w:rPr>
                <w:rFonts w:eastAsia="Aptos Narrow" w:cstheme="minorHAnsi"/>
                <w:color w:val="000000" w:themeColor="text1"/>
                <w:sz w:val="18"/>
                <w:szCs w:val="18"/>
              </w:rPr>
              <w:t>rozsterylizowaniem</w:t>
            </w:r>
            <w:proofErr w:type="spellEnd"/>
            <w:r w:rsidRPr="00342542">
              <w:rPr>
                <w:rFonts w:eastAsia="Aptos Narrow" w:cstheme="minorHAnsi"/>
                <w:color w:val="000000" w:themeColor="text1"/>
                <w:sz w:val="18"/>
                <w:szCs w:val="18"/>
              </w:rPr>
              <w:t xml:space="preserve">. Nadające się do sterylizacji w autoklawie (121 st. Celsjusza) bez utraty właściwości.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06B57C3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12C415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7ADCF882" w14:textId="77777777" w:rsidTr="00F60146">
        <w:trPr>
          <w:trHeight w:val="282"/>
        </w:trPr>
        <w:tc>
          <w:tcPr>
            <w:tcW w:w="920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DF71492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CZĘŚĆ 2</w:t>
            </w:r>
          </w:p>
        </w:tc>
      </w:tr>
      <w:tr w:rsidR="00342542" w:rsidRPr="00381A0B" w14:paraId="46172F0C" w14:textId="77777777" w:rsidTr="00342542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0A367A68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3CA1" w14:textId="1774CBEB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562D">
              <w:rPr>
                <w:rFonts w:cstheme="minorHAnsi"/>
                <w:spacing w:val="-2"/>
                <w:sz w:val="20"/>
                <w:szCs w:val="20"/>
              </w:rPr>
              <w:t xml:space="preserve">Markery </w:t>
            </w:r>
            <w:r w:rsidRPr="003C562D">
              <w:rPr>
                <w:rFonts w:cstheme="minorHAnsi"/>
                <w:sz w:val="20"/>
                <w:szCs w:val="20"/>
              </w:rPr>
              <w:t xml:space="preserve">odporne na </w:t>
            </w:r>
            <w:r w:rsidRPr="003C562D">
              <w:rPr>
                <w:rFonts w:cstheme="minorHAnsi"/>
                <w:spacing w:val="-2"/>
                <w:sz w:val="20"/>
                <w:szCs w:val="20"/>
              </w:rPr>
              <w:t xml:space="preserve">alkohol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B1A3" w14:textId="77777777" w:rsidR="00342542" w:rsidRPr="003C562D" w:rsidRDefault="00342542" w:rsidP="00342542">
            <w:pPr>
              <w:pStyle w:val="TableParagraph"/>
              <w:spacing w:before="13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Markery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odporne</w:t>
            </w:r>
            <w:r w:rsidRPr="003C562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na</w:t>
            </w:r>
            <w:r w:rsidRPr="003C562D">
              <w:rPr>
                <w:rFonts w:asciiTheme="minorHAnsi" w:hAnsiTheme="minorHAnsi" w:cstheme="minorHAnsi"/>
                <w:spacing w:val="-3"/>
                <w:sz w:val="20"/>
                <w:szCs w:val="20"/>
              </w:rPr>
              <w:t xml:space="preserve"> alkohol </w:t>
            </w: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>do</w:t>
            </w:r>
          </w:p>
          <w:p w14:paraId="330EAE0E" w14:textId="77777777" w:rsidR="00342542" w:rsidRPr="003C562D" w:rsidRDefault="00342542" w:rsidP="00342542">
            <w:pPr>
              <w:pStyle w:val="TableParagraph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podpisywania worków, fiolek, pudełek. Z cienką</w:t>
            </w: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końcówką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3C562D">
              <w:rPr>
                <w:rFonts w:asciiTheme="minorHAnsi" w:hAnsiTheme="minorHAnsi" w:cstheme="minorHAnsi"/>
                <w:spacing w:val="-4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grubości</w:t>
            </w:r>
            <w:r w:rsidRPr="003C562D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ok.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mm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3C562D">
              <w:rPr>
                <w:rFonts w:asciiTheme="minorHAnsi" w:hAnsiTheme="minorHAnsi"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bardzo trwałym tuszem. Dostępne w różnych kolorach:</w:t>
            </w:r>
          </w:p>
          <w:p w14:paraId="3E674076" w14:textId="55382208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562D">
              <w:rPr>
                <w:rFonts w:cstheme="minorHAnsi"/>
                <w:sz w:val="20"/>
                <w:szCs w:val="20"/>
              </w:rPr>
              <w:t>czarny,</w:t>
            </w:r>
            <w:r w:rsidRPr="003C562D">
              <w:rPr>
                <w:rFonts w:cstheme="minorHAnsi"/>
                <w:spacing w:val="-7"/>
                <w:sz w:val="20"/>
                <w:szCs w:val="20"/>
              </w:rPr>
              <w:t xml:space="preserve"> </w:t>
            </w:r>
            <w:r w:rsidRPr="003C562D">
              <w:rPr>
                <w:rFonts w:cstheme="minorHAnsi"/>
                <w:sz w:val="20"/>
                <w:szCs w:val="20"/>
              </w:rPr>
              <w:t>niebieski,</w:t>
            </w:r>
            <w:r w:rsidRPr="003C562D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cstheme="minorHAnsi"/>
                <w:sz w:val="20"/>
                <w:szCs w:val="20"/>
              </w:rPr>
              <w:t>czerwony,</w:t>
            </w:r>
            <w:r w:rsidRPr="003C562D">
              <w:rPr>
                <w:rFonts w:cstheme="minorHAnsi"/>
                <w:spacing w:val="-6"/>
                <w:sz w:val="20"/>
                <w:szCs w:val="20"/>
              </w:rPr>
              <w:t xml:space="preserve"> </w:t>
            </w:r>
            <w:r w:rsidRPr="003C562D">
              <w:rPr>
                <w:rFonts w:cstheme="minorHAnsi"/>
                <w:spacing w:val="-2"/>
                <w:sz w:val="20"/>
                <w:szCs w:val="20"/>
              </w:rPr>
              <w:t>zielony.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20C69C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01D0B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3565A31C" w14:textId="77777777" w:rsidTr="00342542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0274C989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97B1" w14:textId="77777777" w:rsidR="00342542" w:rsidRPr="003C562D" w:rsidRDefault="00342542" w:rsidP="00342542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2665897" w14:textId="77777777" w:rsidR="00342542" w:rsidRPr="003C562D" w:rsidRDefault="00342542" w:rsidP="00342542">
            <w:pPr>
              <w:pStyle w:val="TableParagraph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Czasomierz laboratoryjny </w:t>
            </w:r>
          </w:p>
          <w:p w14:paraId="7B6152EC" w14:textId="77777777" w:rsidR="00342542" w:rsidRPr="003C562D" w:rsidRDefault="00342542" w:rsidP="00342542">
            <w:pPr>
              <w:pStyle w:val="TableParagraph"/>
              <w:spacing w:before="148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B71F2B" w14:textId="77777777" w:rsidR="00342542" w:rsidRPr="003C562D" w:rsidRDefault="00342542" w:rsidP="00342542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33A325" w14:textId="77777777" w:rsidR="00342542" w:rsidRPr="003C562D" w:rsidRDefault="00342542" w:rsidP="00342542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0672D8" w14:textId="77777777" w:rsidR="00342542" w:rsidRPr="003C562D" w:rsidRDefault="00342542" w:rsidP="00342542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70AF58" w14:textId="77777777" w:rsidR="00342542" w:rsidRPr="003C562D" w:rsidRDefault="00342542" w:rsidP="00342542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03ABDE" w14:textId="77777777" w:rsidR="00342542" w:rsidRPr="003C562D" w:rsidRDefault="00342542" w:rsidP="00342542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6E548E1" w14:textId="77777777" w:rsidR="00342542" w:rsidRPr="003C562D" w:rsidRDefault="00342542" w:rsidP="00342542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29A280" w14:textId="77777777" w:rsidR="00342542" w:rsidRPr="003C562D" w:rsidRDefault="00342542" w:rsidP="00342542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4BDC45" w14:textId="77777777" w:rsidR="00342542" w:rsidRPr="003C562D" w:rsidRDefault="00342542" w:rsidP="00342542">
            <w:pPr>
              <w:pStyle w:val="TableParagraph"/>
              <w:ind w:left="71" w:right="414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37C916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E513" w14:textId="7E4E1FC0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562D">
              <w:rPr>
                <w:rFonts w:cstheme="minorHAnsi"/>
                <w:sz w:val="20"/>
                <w:szCs w:val="20"/>
              </w:rPr>
              <w:t>Czasomierz laboratoryjny przeznaczony do precyzyjnego odmierzania czasu podczas prac laboratoryjnych. Wyposażony w czytelny wyświetlacz oraz intuicyjne przyciski sterujące, w tym oddzielny przycisk do ustawiania godzin. Z magnesem oraz alarmem dźwiękowym, trójkanałowy. Umożliwia jednoczesne, niezależne odliczanie co najmniej dwóch czasów. Przystosowany do rutynowego użytkowania w laboratoriach badawczych, dydaktycznych i diagnostycznych.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49CD343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615E25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1B25E09F" w14:textId="77777777" w:rsidTr="00342542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2F31B5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AF857" w14:textId="2EDDA377" w:rsidR="00342542" w:rsidRPr="00342542" w:rsidRDefault="00342542" w:rsidP="00342542">
            <w:pPr>
              <w:spacing w:before="13"/>
              <w:ind w:left="71"/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</w:pPr>
            <w:r w:rsidRPr="00342542">
              <w:rPr>
                <w:rFonts w:ascii="Calibri" w:eastAsia="Calibri" w:hAnsi="Calibri" w:cs="Calibri"/>
                <w:spacing w:val="-2"/>
                <w:kern w:val="0"/>
                <w:sz w:val="20"/>
                <w:szCs w:val="20"/>
                <w14:ligatures w14:val="none"/>
              </w:rPr>
              <w:t>Taśma</w:t>
            </w:r>
          </w:p>
          <w:p w14:paraId="7B1CD47C" w14:textId="6B65E45D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42542">
              <w:rPr>
                <w:rFonts w:ascii="Calibri" w:eastAsia="Calibri" w:hAnsi="Calibri" w:cs="Arial"/>
                <w:spacing w:val="-2"/>
                <w:kern w:val="0"/>
                <w:sz w:val="20"/>
                <w:szCs w:val="20"/>
                <w14:ligatures w14:val="none"/>
              </w:rPr>
              <w:t xml:space="preserve">Wskaźnikowa </w:t>
            </w:r>
            <w:r w:rsidRPr="00342542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>do</w:t>
            </w:r>
            <w:r w:rsidRPr="00342542">
              <w:rPr>
                <w:rFonts w:ascii="Calibri" w:eastAsia="Calibri" w:hAnsi="Calibri" w:cs="Calibri"/>
                <w:spacing w:val="-13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342542">
              <w:rPr>
                <w:rFonts w:ascii="Calibri" w:eastAsia="Calibri" w:hAnsi="Calibri" w:cs="Calibri"/>
                <w:kern w:val="0"/>
                <w:sz w:val="20"/>
                <w:szCs w:val="20"/>
                <w14:ligatures w14:val="none"/>
              </w:rPr>
              <w:t xml:space="preserve">kontroli </w:t>
            </w:r>
            <w:r w:rsidRPr="00342542">
              <w:rPr>
                <w:rFonts w:ascii="Calibri" w:eastAsia="Calibri" w:hAnsi="Calibri" w:cs="Calibri"/>
                <w:spacing w:val="-2"/>
                <w:kern w:val="0"/>
                <w:sz w:val="20"/>
                <w:szCs w:val="20"/>
                <w14:ligatures w14:val="none"/>
              </w:rPr>
              <w:t>sterylizacji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89BD4E" w14:textId="77777777" w:rsidR="00342542" w:rsidRPr="00342542" w:rsidRDefault="00342542" w:rsidP="00342542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42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pl-PL"/>
                <w14:ligatures w14:val="none"/>
              </w:rPr>
              <w:t>Taśma wskaźnikowa, która zmienia barwę po</w:t>
            </w:r>
          </w:p>
          <w:p w14:paraId="78300278" w14:textId="77777777" w:rsidR="00342542" w:rsidRPr="00342542" w:rsidRDefault="00342542" w:rsidP="00342542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342542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pl-PL"/>
                <w14:ligatures w14:val="none"/>
              </w:rPr>
              <w:t>uzyskaniu odpowiedniej temperatury, w odpowiednim czasie w trakcie sterylizacji. O</w:t>
            </w:r>
          </w:p>
          <w:p w14:paraId="409DE2FC" w14:textId="64DBAB14" w:rsidR="00342542" w:rsidRPr="00381A0B" w:rsidRDefault="00342542" w:rsidP="00342542">
            <w:pPr>
              <w:spacing w:after="0" w:line="240" w:lineRule="auto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42542">
              <w:rPr>
                <w:rFonts w:ascii="Aptos Narrow" w:eastAsia="Times New Roman" w:hAnsi="Aptos Narrow" w:cs="Times New Roman"/>
                <w:kern w:val="0"/>
                <w:sz w:val="20"/>
                <w:szCs w:val="20"/>
                <w:lang w:eastAsia="pl-PL"/>
                <w14:ligatures w14:val="none"/>
              </w:rPr>
              <w:t>długości 50 m.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9B345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FF09BF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39098ED0" w14:textId="77777777" w:rsidTr="00F60146">
        <w:trPr>
          <w:trHeight w:val="424"/>
        </w:trPr>
        <w:tc>
          <w:tcPr>
            <w:tcW w:w="920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4CEC15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CZĘŚĆ 3</w:t>
            </w:r>
          </w:p>
        </w:tc>
      </w:tr>
      <w:tr w:rsidR="00342542" w:rsidRPr="00381A0B" w14:paraId="19AA5ACF" w14:textId="77777777" w:rsidTr="00E61070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B88959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1.</w:t>
            </w:r>
          </w:p>
        </w:tc>
        <w:tc>
          <w:tcPr>
            <w:tcW w:w="1418" w:type="dxa"/>
            <w:tcBorders>
              <w:top w:val="single" w:sz="12" w:space="0" w:color="D0CECE"/>
            </w:tcBorders>
          </w:tcPr>
          <w:p w14:paraId="07836465" w14:textId="406BDBC3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562D">
              <w:rPr>
                <w:rFonts w:cstheme="minorHAnsi"/>
                <w:sz w:val="20"/>
                <w:szCs w:val="20"/>
              </w:rPr>
              <w:t xml:space="preserve">kolby </w:t>
            </w:r>
            <w:proofErr w:type="spellStart"/>
            <w:r w:rsidRPr="003C562D">
              <w:rPr>
                <w:rFonts w:cstheme="minorHAnsi"/>
                <w:sz w:val="20"/>
                <w:szCs w:val="20"/>
              </w:rPr>
              <w:t>elrenmajera</w:t>
            </w:r>
            <w:proofErr w:type="spellEnd"/>
            <w:r w:rsidRPr="003C562D">
              <w:rPr>
                <w:rFonts w:cstheme="minorHAnsi"/>
                <w:sz w:val="20"/>
                <w:szCs w:val="20"/>
              </w:rPr>
              <w:t xml:space="preserve"> 125 ml</w:t>
            </w:r>
          </w:p>
        </w:tc>
        <w:tc>
          <w:tcPr>
            <w:tcW w:w="3827" w:type="dxa"/>
            <w:tcBorders>
              <w:top w:val="single" w:sz="12" w:space="0" w:color="D0CECE"/>
            </w:tcBorders>
          </w:tcPr>
          <w:p w14:paraId="1B0B0D1D" w14:textId="04DAACEC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562D">
              <w:rPr>
                <w:rFonts w:cstheme="minorHAnsi"/>
                <w:sz w:val="20"/>
                <w:szCs w:val="20"/>
              </w:rPr>
              <w:t xml:space="preserve">Kolby wykonane z poliwęglanu, przeznaczone do hodowli w wytrząsarkach komórek zwierzęcych. Charakteryzują się wysoką przejrzystością optyczną i odpornością mechaniczną, w tym odpornością na upadki. Dno posiadające przegrody poprawia efektywność mieszania oraz wymianę gazową. Kolby posiadają trwałe podziałki, zakres temperatur pracy od –80 do +121 °C </w:t>
            </w:r>
            <w:r w:rsidRPr="003C562D">
              <w:rPr>
                <w:rFonts w:cstheme="minorHAnsi"/>
                <w:sz w:val="20"/>
                <w:szCs w:val="20"/>
              </w:rPr>
              <w:lastRenderedPageBreak/>
              <w:t>oraz są sterylne, niecytotoksyczne, wolne od DNA/</w:t>
            </w:r>
            <w:proofErr w:type="spellStart"/>
            <w:r w:rsidRPr="003C562D">
              <w:rPr>
                <w:rFonts w:cstheme="minorHAnsi"/>
                <w:sz w:val="20"/>
                <w:szCs w:val="20"/>
              </w:rPr>
              <w:t>RNazy</w:t>
            </w:r>
            <w:proofErr w:type="spellEnd"/>
            <w:r w:rsidRPr="003C562D">
              <w:rPr>
                <w:rFonts w:cstheme="minorHAnsi"/>
                <w:sz w:val="20"/>
                <w:szCs w:val="20"/>
              </w:rPr>
              <w:t xml:space="preserve"> i pirogenów. Jedno opakowanie zawiera min. 24 pojedynczo pakowane kolby.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202C131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EBA3C5C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0D18893E" w14:textId="77777777" w:rsidTr="00E61070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F5C91F" w14:textId="3DF0AE1A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2.</w:t>
            </w:r>
          </w:p>
        </w:tc>
        <w:tc>
          <w:tcPr>
            <w:tcW w:w="1418" w:type="dxa"/>
            <w:tcBorders>
              <w:top w:val="single" w:sz="12" w:space="0" w:color="D0CECE"/>
            </w:tcBorders>
          </w:tcPr>
          <w:p w14:paraId="17317D0F" w14:textId="54288E7C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562D">
              <w:rPr>
                <w:rFonts w:cstheme="minorHAnsi"/>
                <w:sz w:val="20"/>
                <w:szCs w:val="20"/>
              </w:rPr>
              <w:t xml:space="preserve">kolby </w:t>
            </w:r>
            <w:proofErr w:type="spellStart"/>
            <w:r w:rsidRPr="003C562D">
              <w:rPr>
                <w:rFonts w:cstheme="minorHAnsi"/>
                <w:sz w:val="20"/>
                <w:szCs w:val="20"/>
              </w:rPr>
              <w:t>elrenmajera</w:t>
            </w:r>
            <w:proofErr w:type="spellEnd"/>
            <w:r w:rsidRPr="003C562D">
              <w:rPr>
                <w:rFonts w:cstheme="minorHAnsi"/>
                <w:sz w:val="20"/>
                <w:szCs w:val="20"/>
              </w:rPr>
              <w:t xml:space="preserve"> 250 ml</w:t>
            </w:r>
          </w:p>
        </w:tc>
        <w:tc>
          <w:tcPr>
            <w:tcW w:w="3827" w:type="dxa"/>
            <w:tcBorders>
              <w:top w:val="single" w:sz="12" w:space="0" w:color="D0CECE"/>
            </w:tcBorders>
          </w:tcPr>
          <w:p w14:paraId="60977746" w14:textId="32EF001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562D">
              <w:rPr>
                <w:rFonts w:cstheme="minorHAnsi"/>
                <w:sz w:val="20"/>
                <w:szCs w:val="20"/>
              </w:rPr>
              <w:t>Kolby wykonane z poliwęglanu, przeznaczone do hodowli w wytrząsarkach komórek zwierzęcych. Charakteryzują się wysoką przejrzystością optyczną i odpornością mechaniczną, w tym odpornością na upadki. Dno posiadające przegrody poprawia efektywność mieszania oraz wymianę gazową. Kolby posiadają trwałe podziałki, zakres temperatur pracy od –80 do +121 °C oraz są sterylne, niecytotoksyczne, wolne od DNA/</w:t>
            </w:r>
            <w:proofErr w:type="spellStart"/>
            <w:r w:rsidRPr="003C562D">
              <w:rPr>
                <w:rFonts w:cstheme="minorHAnsi"/>
                <w:sz w:val="20"/>
                <w:szCs w:val="20"/>
              </w:rPr>
              <w:t>RNazy</w:t>
            </w:r>
            <w:proofErr w:type="spellEnd"/>
            <w:r w:rsidRPr="003C562D">
              <w:rPr>
                <w:rFonts w:cstheme="minorHAnsi"/>
                <w:sz w:val="20"/>
                <w:szCs w:val="20"/>
              </w:rPr>
              <w:t xml:space="preserve"> i pirogenów. Jedno opakowanie zawiera min. 12 pojedynczo pakowane kolby.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DC79591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C1AD0C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31B77B61" w14:textId="77777777" w:rsidTr="00E61070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01C244" w14:textId="12F28C4E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</w:p>
        </w:tc>
        <w:tc>
          <w:tcPr>
            <w:tcW w:w="1418" w:type="dxa"/>
            <w:tcBorders>
              <w:top w:val="single" w:sz="12" w:space="0" w:color="D0CECE"/>
              <w:bottom w:val="single" w:sz="12" w:space="0" w:color="BFBFBF" w:themeColor="background1" w:themeShade="BF"/>
            </w:tcBorders>
          </w:tcPr>
          <w:p w14:paraId="0386AC2F" w14:textId="15E3526B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562D">
              <w:rPr>
                <w:rFonts w:cstheme="minorHAnsi"/>
                <w:sz w:val="20"/>
                <w:szCs w:val="20"/>
              </w:rPr>
              <w:t xml:space="preserve">kolby </w:t>
            </w:r>
            <w:proofErr w:type="spellStart"/>
            <w:r w:rsidRPr="003C562D">
              <w:rPr>
                <w:rFonts w:cstheme="minorHAnsi"/>
                <w:sz w:val="20"/>
                <w:szCs w:val="20"/>
              </w:rPr>
              <w:t>elrenmajera</w:t>
            </w:r>
            <w:proofErr w:type="spellEnd"/>
            <w:r w:rsidRPr="003C562D">
              <w:rPr>
                <w:rFonts w:cstheme="minorHAnsi"/>
                <w:sz w:val="20"/>
                <w:szCs w:val="20"/>
              </w:rPr>
              <w:t xml:space="preserve"> 500 ml</w:t>
            </w:r>
          </w:p>
        </w:tc>
        <w:tc>
          <w:tcPr>
            <w:tcW w:w="3827" w:type="dxa"/>
            <w:tcBorders>
              <w:top w:val="single" w:sz="12" w:space="0" w:color="D0CECE"/>
              <w:bottom w:val="single" w:sz="12" w:space="0" w:color="BFBFBF" w:themeColor="background1" w:themeShade="BF"/>
            </w:tcBorders>
          </w:tcPr>
          <w:p w14:paraId="608835C1" w14:textId="4CDD811A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562D">
              <w:rPr>
                <w:rFonts w:cstheme="minorHAnsi"/>
                <w:sz w:val="20"/>
                <w:szCs w:val="20"/>
              </w:rPr>
              <w:t>Kolby wykonane z poliwęglanu, przeznaczone do hodowli w wytrząsarkach komórek zwierzęcych. Charakteryzują się wysoką przejrzystością optyczną i odpornością mechaniczną, w tym odpornością na upadki. Dno posiadające przegrody poprawia efektywność mieszania oraz wymianę gazową. Kolby posiadają trwałe podziałki, zakres temperatur pracy od –80 do +121 °C oraz są sterylne, niecytotoksyczne, wolne od DNA/</w:t>
            </w:r>
            <w:proofErr w:type="spellStart"/>
            <w:r w:rsidRPr="003C562D">
              <w:rPr>
                <w:rFonts w:cstheme="minorHAnsi"/>
                <w:sz w:val="20"/>
                <w:szCs w:val="20"/>
              </w:rPr>
              <w:t>RNazy</w:t>
            </w:r>
            <w:proofErr w:type="spellEnd"/>
            <w:r w:rsidRPr="003C562D">
              <w:rPr>
                <w:rFonts w:cstheme="minorHAnsi"/>
                <w:sz w:val="20"/>
                <w:szCs w:val="20"/>
              </w:rPr>
              <w:t xml:space="preserve"> i pirogenów. Jedno opakowanie zawiera min. 12 pojedynczo pakowane kolby.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4830D2B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29D2595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6C76C23A" w14:textId="77777777" w:rsidTr="00BB16DE">
        <w:trPr>
          <w:trHeight w:val="300"/>
        </w:trPr>
        <w:tc>
          <w:tcPr>
            <w:tcW w:w="920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6B610C" w14:textId="6F85B791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81A0B"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 xml:space="preserve">CZĘŚĆ </w:t>
            </w:r>
            <w:r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  <w:t>4</w:t>
            </w:r>
          </w:p>
        </w:tc>
      </w:tr>
      <w:tr w:rsidR="00342542" w:rsidRPr="00381A0B" w14:paraId="17826CDD" w14:textId="77777777" w:rsidTr="00B438AA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44FF16" w14:textId="495A3DB5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8E1D059" w14:textId="77777777" w:rsidR="00342542" w:rsidRPr="003C562D" w:rsidRDefault="00342542" w:rsidP="00342542">
            <w:pPr>
              <w:pStyle w:val="TableParagraph"/>
              <w:spacing w:before="1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A02A772" w14:textId="77777777" w:rsidR="00342542" w:rsidRPr="003C562D" w:rsidRDefault="00342542" w:rsidP="00342542">
            <w:pPr>
              <w:pStyle w:val="TableParagraph"/>
              <w:spacing w:line="237" w:lineRule="auto"/>
              <w:ind w:lef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Zestawy chłodzące do probówek</w:t>
            </w:r>
          </w:p>
          <w:p w14:paraId="00FACC82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843EB7" w14:textId="42DE9455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562D">
              <w:rPr>
                <w:rFonts w:cstheme="minorHAnsi"/>
                <w:sz w:val="20"/>
                <w:szCs w:val="20"/>
              </w:rPr>
              <w:t xml:space="preserve">System do chłodzenia i transportu próbek głęboko mrożonych. Zapewnia jednorodne chłodzenie w temp. –21 °C do 3 h lub 0 °C do 6 h. Umożliwia bezpieczny transport, kontrolowane rozmrażanie i chroni enzymy przed inaktywacją (np. w przygotowaniu PCR). Technologia suchej inkubacji ogranicza ryzyko kontaminacji. Statyw </w:t>
            </w:r>
            <w:proofErr w:type="spellStart"/>
            <w:r w:rsidRPr="003C562D">
              <w:rPr>
                <w:rFonts w:cstheme="minorHAnsi"/>
                <w:sz w:val="20"/>
                <w:szCs w:val="20"/>
              </w:rPr>
              <w:t>IsoRack</w:t>
            </w:r>
            <w:proofErr w:type="spellEnd"/>
            <w:r w:rsidRPr="003C562D">
              <w:rPr>
                <w:rFonts w:cstheme="minorHAnsi"/>
                <w:sz w:val="20"/>
                <w:szCs w:val="20"/>
              </w:rPr>
              <w:t xml:space="preserve"> mieści 24 mikroprobówki, może być sterylizowany (121 °C), wirowany i układany piętrowo. Zestaw obejmuje </w:t>
            </w:r>
            <w:proofErr w:type="spellStart"/>
            <w:r w:rsidRPr="003C562D">
              <w:rPr>
                <w:rFonts w:cstheme="minorHAnsi"/>
                <w:sz w:val="20"/>
                <w:szCs w:val="20"/>
              </w:rPr>
              <w:t>IsoRack</w:t>
            </w:r>
            <w:proofErr w:type="spellEnd"/>
            <w:r w:rsidRPr="003C562D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3C562D">
              <w:rPr>
                <w:rFonts w:cstheme="minorHAnsi"/>
                <w:sz w:val="20"/>
                <w:szCs w:val="20"/>
              </w:rPr>
              <w:t>IsoSafe</w:t>
            </w:r>
            <w:proofErr w:type="spellEnd"/>
            <w:r w:rsidRPr="003C562D">
              <w:rPr>
                <w:rFonts w:cstheme="minorHAnsi"/>
                <w:sz w:val="20"/>
                <w:szCs w:val="20"/>
              </w:rPr>
              <w:t xml:space="preserve"> (pudełko izolacyjne) oraz wkłady chłodzące </w:t>
            </w:r>
            <w:proofErr w:type="spellStart"/>
            <w:r w:rsidRPr="003C562D">
              <w:rPr>
                <w:rFonts w:cstheme="minorHAnsi"/>
                <w:sz w:val="20"/>
                <w:szCs w:val="20"/>
              </w:rPr>
              <w:t>IsoPack</w:t>
            </w:r>
            <w:proofErr w:type="spellEnd"/>
            <w:r w:rsidRPr="003C562D">
              <w:rPr>
                <w:rFonts w:cstheme="minorHAnsi"/>
                <w:sz w:val="20"/>
                <w:szCs w:val="20"/>
              </w:rPr>
              <w:t xml:space="preserve"> do 0 °C lub –21 °C, kompatybilne z probówkami 1,5–2,0 </w:t>
            </w:r>
            <w:proofErr w:type="spellStart"/>
            <w:r w:rsidRPr="003C562D">
              <w:rPr>
                <w:rFonts w:cstheme="minorHAnsi"/>
                <w:sz w:val="20"/>
                <w:szCs w:val="20"/>
              </w:rPr>
              <w:t>mL</w:t>
            </w:r>
            <w:proofErr w:type="spellEnd"/>
            <w:r w:rsidRPr="003C562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66C1C1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D23F532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342542" w:rsidRPr="00381A0B" w14:paraId="5927008C" w14:textId="77777777" w:rsidTr="00B438AA">
        <w:trPr>
          <w:trHeight w:val="300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18606C" w14:textId="25FE2D89" w:rsidR="00342542" w:rsidRPr="00381A0B" w:rsidRDefault="00342542" w:rsidP="003425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38162E" w14:textId="6FED6B80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kern w:val="0"/>
                <w:sz w:val="22"/>
                <w:szCs w:val="22"/>
                <w:lang w:eastAsia="pl-PL"/>
                <w14:ligatures w14:val="none"/>
              </w:rPr>
            </w:pPr>
            <w:r w:rsidRPr="003C562D">
              <w:rPr>
                <w:rFonts w:cstheme="minorHAnsi"/>
                <w:sz w:val="20"/>
                <w:szCs w:val="20"/>
              </w:rPr>
              <w:t>Statyw chłodzący na probówki 0,2-0,5 ml</w:t>
            </w:r>
          </w:p>
        </w:tc>
        <w:tc>
          <w:tcPr>
            <w:tcW w:w="3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241F98D" w14:textId="77777777" w:rsidR="00342542" w:rsidRPr="003C562D" w:rsidRDefault="00342542" w:rsidP="00342542">
            <w:pPr>
              <w:pStyle w:val="TableParagraph"/>
              <w:spacing w:before="1" w:line="266" w:lineRule="exact"/>
              <w:ind w:left="71"/>
              <w:rPr>
                <w:rFonts w:asciiTheme="minorHAnsi" w:hAnsiTheme="minorHAnsi" w:cstheme="minorHAnsi"/>
                <w:sz w:val="20"/>
                <w:szCs w:val="20"/>
              </w:rPr>
            </w:pPr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Statyw laboratoryjny przeznaczony do przechowywania probówek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cytrometrycznych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 xml:space="preserve">. Wykonany z trwałego tworzywa sztucznego odpornego na standardowe odczynniki laboratoryjne. </w:t>
            </w:r>
            <w:proofErr w:type="spellStart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Autoklawowalne</w:t>
            </w:r>
            <w:proofErr w:type="spellEnd"/>
            <w:r w:rsidRPr="003C562D">
              <w:rPr>
                <w:rFonts w:asciiTheme="minorHAnsi" w:hAnsiTheme="minorHAnsi" w:cstheme="minorHAnsi"/>
                <w:sz w:val="20"/>
                <w:szCs w:val="20"/>
              </w:rPr>
              <w:t>. Zapewnia stabilne, pionowe ustawienie probówek oraz łatwy dostęp do próbek podczas pracy. Przeznaczony do rutynowych zastosowań w laboratoriach badawczych i diagnostycznych. Statyw mieści 90 probówek.</w:t>
            </w:r>
          </w:p>
          <w:p w14:paraId="35B7C1CC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9275D7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EBFA4ED" w14:textId="77777777" w:rsidR="00342542" w:rsidRPr="00381A0B" w:rsidRDefault="00342542" w:rsidP="00342542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</w:tbl>
    <w:bookmarkEnd w:id="1"/>
    <w:p w14:paraId="3756D093" w14:textId="2325A003" w:rsidR="0086140E" w:rsidRPr="00381A0B" w:rsidRDefault="0086140E" w:rsidP="0086140E">
      <w:pPr>
        <w:numPr>
          <w:ilvl w:val="0"/>
          <w:numId w:val="1"/>
        </w:numPr>
        <w:spacing w:after="0" w:line="240" w:lineRule="auto"/>
        <w:jc w:val="both"/>
        <w:rPr>
          <w:kern w:val="0"/>
          <w:sz w:val="20"/>
          <w:szCs w:val="20"/>
          <w14:ligatures w14:val="none"/>
        </w:rPr>
      </w:pPr>
      <w:r w:rsidRPr="00381A0B">
        <w:rPr>
          <w:kern w:val="0"/>
          <w:sz w:val="20"/>
          <w:szCs w:val="20"/>
          <w14:ligatures w14:val="none"/>
        </w:rPr>
        <w:lastRenderedPageBreak/>
        <w:t xml:space="preserve"> przypadku odpowiedzi przeczącej (NIE) Wykonawca jest zobowiązany do wskazania (oprócz nr strony) w kolumnie </w:t>
      </w:r>
      <w:r w:rsidRPr="00381A0B">
        <w:rPr>
          <w:b/>
          <w:bCs/>
          <w:kern w:val="0"/>
          <w:sz w:val="20"/>
          <w:szCs w:val="20"/>
          <w14:ligatures w14:val="none"/>
        </w:rPr>
        <w:t>„Uwagi” równoważności</w:t>
      </w:r>
      <w:r w:rsidRPr="00381A0B">
        <w:rPr>
          <w:kern w:val="0"/>
          <w:sz w:val="20"/>
          <w:szCs w:val="20"/>
          <w14:ligatures w14:val="none"/>
        </w:rPr>
        <w:t xml:space="preserve"> zaoferowanego parametru. Jednocześnie informuję, że zaoferowana równoważność nie może być gorsza od wymagań Zamawiającego.</w:t>
      </w:r>
    </w:p>
    <w:p w14:paraId="188C6BA0" w14:textId="77777777" w:rsidR="0086140E" w:rsidRPr="00381A0B" w:rsidRDefault="0086140E" w:rsidP="0086140E">
      <w:pPr>
        <w:numPr>
          <w:ilvl w:val="0"/>
          <w:numId w:val="1"/>
        </w:numPr>
        <w:spacing w:after="0" w:line="240" w:lineRule="auto"/>
        <w:jc w:val="both"/>
        <w:rPr>
          <w:kern w:val="0"/>
          <w:sz w:val="20"/>
          <w:szCs w:val="20"/>
          <w14:ligatures w14:val="none"/>
        </w:rPr>
      </w:pPr>
      <w:r w:rsidRPr="00381A0B">
        <w:rPr>
          <w:kern w:val="0"/>
          <w:sz w:val="20"/>
          <w:szCs w:val="20"/>
          <w14:ligatures w14:val="none"/>
        </w:rPr>
        <w:t>W razie opisania Przedmiotu zamówienia za pomocą norm, aprobat, specyfikacji technicznych Zamawiający dopuszcza rozwiązania równoważne. W takim wypadku Oferent zobowiązany jest do wskazania w niniejszym załączniku w kolumnie „uwagi” zakresu równoważności.   Opis zaproponowanych rozwiązań równoważnych musi być na tyle szczegółowy, żeby Zamawiający przy ocenie ofert mógł ocenić spełnienie wymagań dotyczących ich właściwości funkcjonalnych, jakościowych i parametrów oraz rozstrzygnąć, czy zaproponowane rozwiązania są równoważne.</w:t>
      </w:r>
    </w:p>
    <w:p w14:paraId="5E0992E5" w14:textId="77777777" w:rsidR="0086140E" w:rsidRPr="00381A0B" w:rsidRDefault="0086140E" w:rsidP="0086140E">
      <w:pPr>
        <w:numPr>
          <w:ilvl w:val="0"/>
          <w:numId w:val="1"/>
        </w:numPr>
        <w:spacing w:after="0" w:line="240" w:lineRule="auto"/>
        <w:jc w:val="both"/>
        <w:rPr>
          <w:b/>
          <w:bCs/>
          <w:kern w:val="0"/>
          <w:sz w:val="20"/>
          <w:szCs w:val="20"/>
          <w14:ligatures w14:val="none"/>
        </w:rPr>
      </w:pPr>
      <w:r w:rsidRPr="00381A0B">
        <w:rPr>
          <w:kern w:val="0"/>
          <w:sz w:val="20"/>
          <w:szCs w:val="20"/>
          <w14:ligatures w14:val="none"/>
        </w:rPr>
        <w:t xml:space="preserve">Za rozwiązania równoważne należy rozumieć takie, które przedstawiają opis przedmiotu zamówienia o takich samych lub lepszych parametrach technicznych, jakościowych, funkcjonalnych spełniających minimalne parametry określone przez Zamawiającego, lecz oznaczone innym np. znakiem towarowym, patentem lub pochodzeniem, normą czy aprobatą. </w:t>
      </w:r>
      <w:r w:rsidRPr="00381A0B">
        <w:rPr>
          <w:b/>
          <w:bCs/>
          <w:kern w:val="0"/>
          <w:sz w:val="20"/>
          <w:szCs w:val="20"/>
          <w14:ligatures w14:val="none"/>
        </w:rPr>
        <w:t>Wykonawca, który powołuje  się  na rozwiązania  równoważne w opisywanym przez Zamawiającego przedmiocie zamówienia, jest obowiązany udowodnić, że proponowane przez niego rozwiązania  w  równoważnym  stopniu  spełniają  wymagania  określone  w zapytaniu ofertowym.</w:t>
      </w:r>
    </w:p>
    <w:p w14:paraId="305536C1" w14:textId="77777777" w:rsidR="0086140E" w:rsidRPr="00381A0B" w:rsidRDefault="0086140E" w:rsidP="0086140E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  <w:r w:rsidRPr="00381A0B">
        <w:rPr>
          <w:rFonts w:cstheme="minorHAnsi"/>
          <w:kern w:val="0"/>
          <w:sz w:val="20"/>
          <w:szCs w:val="20"/>
          <w14:ligatures w14:val="none"/>
        </w:rPr>
        <w:t>Zamawiający wymaga od Wykonawcy złożenia stosownych dokumentów uwiarygadniających zastosowanie rozwiązań równoważnych. W przypadku, gdy Wykonawca nie złoży w ofercie dokumentów o zastosowaniu innych równoważnych materiałów lub rozwiązań, to rozumie się przez to, że do kalkulacji ceny oferty i wykonania przedmiotu zamówienia ujęto materiały zaproponowane w szczegółowym opisie przedmiotu zamówienia; w związku z tym Wykonawca jest zobowiązany zastosować do wykonania zamówienia materiały lub rozwiązania zaproponowane w Szczegółowym opisie przedmiotu zamówienia.</w:t>
      </w:r>
    </w:p>
    <w:p w14:paraId="5022629A" w14:textId="77777777" w:rsidR="0086140E" w:rsidRPr="00381A0B" w:rsidRDefault="0086140E" w:rsidP="0086140E">
      <w:pPr>
        <w:spacing w:after="0" w:line="259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522D9BA4" w14:textId="77777777" w:rsidR="0086140E" w:rsidRPr="00381A0B" w:rsidRDefault="0086140E" w:rsidP="0086140E">
      <w:pPr>
        <w:spacing w:after="0" w:line="259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3AB8B96C" w14:textId="77777777" w:rsidR="0086140E" w:rsidRPr="00381A0B" w:rsidRDefault="0086140E" w:rsidP="0086140E">
      <w:pPr>
        <w:spacing w:line="259" w:lineRule="auto"/>
        <w:ind w:left="567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  <w:r w:rsidRPr="00381A0B">
        <w:rPr>
          <w:rFonts w:eastAsia="Times New Roman" w:cstheme="minorHAnsi"/>
          <w:kern w:val="0"/>
          <w:sz w:val="20"/>
          <w:szCs w:val="20"/>
          <w14:ligatures w14:val="none"/>
        </w:rPr>
        <w:t>………………………………………….……….</w:t>
      </w:r>
      <w:r w:rsidRPr="00381A0B">
        <w:rPr>
          <w:rFonts w:eastAsia="Times New Roman" w:cstheme="minorHAnsi"/>
          <w:kern w:val="0"/>
          <w:sz w:val="20"/>
          <w:szCs w:val="20"/>
          <w14:ligatures w14:val="none"/>
        </w:rPr>
        <w:tab/>
        <w:t xml:space="preserve">                                  …………..…………….………………....…………………</w:t>
      </w:r>
    </w:p>
    <w:p w14:paraId="5BAE2BB7" w14:textId="77777777" w:rsidR="0086140E" w:rsidRPr="00381A0B" w:rsidRDefault="0086140E" w:rsidP="0086140E">
      <w:pPr>
        <w:autoSpaceDE w:val="0"/>
        <w:autoSpaceDN w:val="0"/>
        <w:spacing w:line="259" w:lineRule="auto"/>
        <w:ind w:left="5760" w:hanging="4749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  <w:r w:rsidRPr="00381A0B">
        <w:rPr>
          <w:rFonts w:cstheme="minorHAnsi"/>
          <w:i/>
          <w:kern w:val="0"/>
          <w:sz w:val="20"/>
          <w:szCs w:val="20"/>
          <w14:ligatures w14:val="none"/>
        </w:rPr>
        <w:t>(miejscowość, data</w:t>
      </w:r>
      <w:r w:rsidRPr="00381A0B">
        <w:rPr>
          <w:rFonts w:eastAsia="Times New Roman" w:cstheme="minorHAnsi"/>
          <w:i/>
          <w:kern w:val="0"/>
          <w:sz w:val="20"/>
          <w:szCs w:val="20"/>
          <w14:ligatures w14:val="none"/>
        </w:rPr>
        <w:t xml:space="preserve">) </w:t>
      </w:r>
      <w:r w:rsidRPr="00381A0B">
        <w:rPr>
          <w:rFonts w:eastAsia="Times New Roman" w:cstheme="minorHAnsi"/>
          <w:i/>
          <w:kern w:val="0"/>
          <w:sz w:val="20"/>
          <w:szCs w:val="20"/>
          <w14:ligatures w14:val="none"/>
        </w:rPr>
        <w:tab/>
      </w:r>
      <w:r w:rsidRPr="00381A0B">
        <w:rPr>
          <w:rFonts w:cstheme="minorHAnsi"/>
          <w:i/>
          <w:kern w:val="0"/>
          <w:sz w:val="20"/>
          <w:szCs w:val="20"/>
          <w14:ligatures w14:val="none"/>
        </w:rPr>
        <w:t>(czytelny podpis Wykonawcy lub osoby     upoważnionej do reprezentacji)</w:t>
      </w:r>
    </w:p>
    <w:p w14:paraId="43CFF042" w14:textId="77777777" w:rsidR="0086140E" w:rsidRPr="00381A0B" w:rsidRDefault="0086140E" w:rsidP="0086140E">
      <w:pPr>
        <w:tabs>
          <w:tab w:val="left" w:pos="7300"/>
        </w:tabs>
        <w:autoSpaceDE w:val="0"/>
        <w:autoSpaceDN w:val="0"/>
        <w:spacing w:line="259" w:lineRule="auto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1B40F995" w14:textId="77777777" w:rsidR="0086140E" w:rsidRPr="00381A0B" w:rsidRDefault="0086140E" w:rsidP="0086140E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26B3884C" w14:textId="77777777" w:rsidR="0086140E" w:rsidRPr="00381A0B" w:rsidRDefault="0086140E" w:rsidP="0086140E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508083CE" w14:textId="77777777" w:rsidR="0086140E" w:rsidRPr="00381A0B" w:rsidRDefault="0086140E" w:rsidP="0086140E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6D4D5884" w14:textId="77777777" w:rsidR="0086140E" w:rsidRPr="00381A0B" w:rsidRDefault="0086140E" w:rsidP="0086140E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4B49A242" w14:textId="77777777" w:rsidR="0086140E" w:rsidRPr="00381A0B" w:rsidRDefault="0086140E" w:rsidP="0086140E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62E2A3CD" w14:textId="77777777" w:rsidR="0086140E" w:rsidRPr="00381A0B" w:rsidRDefault="0086140E" w:rsidP="0086140E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2BB2E9E8" w14:textId="77777777" w:rsidR="0086140E" w:rsidRPr="00381A0B" w:rsidRDefault="0086140E" w:rsidP="0086140E">
      <w:pPr>
        <w:autoSpaceDE w:val="0"/>
        <w:autoSpaceDN w:val="0"/>
        <w:spacing w:line="259" w:lineRule="auto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09C43B7B" w14:textId="77777777" w:rsidR="0086140E" w:rsidRPr="00381A0B" w:rsidRDefault="0086140E" w:rsidP="0086140E">
      <w:pPr>
        <w:autoSpaceDE w:val="0"/>
        <w:autoSpaceDN w:val="0"/>
        <w:spacing w:line="259" w:lineRule="auto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482A9B20" w14:textId="77777777" w:rsidR="0086140E" w:rsidRPr="00381A0B" w:rsidRDefault="0086140E" w:rsidP="0086140E">
      <w:pPr>
        <w:autoSpaceDE w:val="0"/>
        <w:autoSpaceDN w:val="0"/>
        <w:spacing w:line="259" w:lineRule="auto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258DF25E" w14:textId="77777777" w:rsidR="0086140E" w:rsidRPr="00381A0B" w:rsidRDefault="0086140E" w:rsidP="0086140E">
      <w:pPr>
        <w:autoSpaceDE w:val="0"/>
        <w:autoSpaceDN w:val="0"/>
        <w:spacing w:line="259" w:lineRule="auto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5197CE86" w14:textId="77777777" w:rsidR="0086140E" w:rsidRPr="00381A0B" w:rsidRDefault="0086140E" w:rsidP="0086140E">
      <w:pPr>
        <w:autoSpaceDE w:val="0"/>
        <w:autoSpaceDN w:val="0"/>
        <w:spacing w:line="259" w:lineRule="auto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7C781728" w14:textId="77777777" w:rsidR="004D5818" w:rsidRPr="00381A0B" w:rsidRDefault="004D5818" w:rsidP="004D5818">
      <w:pPr>
        <w:spacing w:line="259" w:lineRule="auto"/>
        <w:rPr>
          <w:rFonts w:eastAsia="Times New Roman" w:cstheme="minorHAnsi"/>
          <w:color w:val="000000" w:themeColor="text1"/>
          <w:kern w:val="0"/>
          <w:sz w:val="20"/>
          <w:szCs w:val="20"/>
          <w:lang w:eastAsia="pl-PL"/>
          <w14:ligatures w14:val="none"/>
        </w:rPr>
      </w:pPr>
    </w:p>
    <w:p w14:paraId="261D4AC0" w14:textId="77777777" w:rsidR="004D5818" w:rsidRPr="00381A0B" w:rsidRDefault="004D5818" w:rsidP="004D5818">
      <w:pPr>
        <w:spacing w:before="100" w:beforeAutospacing="1" w:after="100" w:afterAutospacing="1" w:line="240" w:lineRule="auto"/>
        <w:jc w:val="both"/>
        <w:rPr>
          <w:rFonts w:cstheme="minorHAnsi"/>
          <w:kern w:val="0"/>
          <w:sz w:val="20"/>
          <w:szCs w:val="20"/>
          <w14:ligatures w14:val="none"/>
        </w:rPr>
      </w:pPr>
    </w:p>
    <w:p w14:paraId="1D76682E" w14:textId="77777777" w:rsidR="004D5818" w:rsidRDefault="004D5818"/>
    <w:sectPr w:rsidR="004D5818" w:rsidSect="004D5818">
      <w:headerReference w:type="default" r:id="rId7"/>
      <w:footerReference w:type="default" r:id="rId8"/>
      <w:pgSz w:w="11906" w:h="16838"/>
      <w:pgMar w:top="1270" w:right="1416" w:bottom="1276" w:left="141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AA970" w14:textId="77777777" w:rsidR="0086140E" w:rsidRDefault="0086140E">
      <w:pPr>
        <w:spacing w:after="0" w:line="240" w:lineRule="auto"/>
      </w:pPr>
      <w:r>
        <w:separator/>
      </w:r>
    </w:p>
  </w:endnote>
  <w:endnote w:type="continuationSeparator" w:id="0">
    <w:p w14:paraId="483DB2DC" w14:textId="77777777" w:rsidR="0086140E" w:rsidRDefault="00861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Bidi"/>
        <w:sz w:val="18"/>
        <w:szCs w:val="18"/>
      </w:rPr>
      <w:id w:val="9848279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Bid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6788FC" w14:textId="77777777" w:rsidR="004D5818" w:rsidRPr="00BD1DD1" w:rsidRDefault="004D5818" w:rsidP="00BD1DD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AEF06" w14:textId="77777777" w:rsidR="0086140E" w:rsidRDefault="0086140E">
      <w:pPr>
        <w:spacing w:after="0" w:line="240" w:lineRule="auto"/>
      </w:pPr>
      <w:r>
        <w:separator/>
      </w:r>
    </w:p>
  </w:footnote>
  <w:footnote w:type="continuationSeparator" w:id="0">
    <w:p w14:paraId="05E2A634" w14:textId="77777777" w:rsidR="0086140E" w:rsidRDefault="00861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73A0B9" w14:textId="77777777" w:rsidR="004D5818" w:rsidRDefault="004D5818" w:rsidP="004655BC">
    <w:pPr>
      <w:pStyle w:val="Nagwek"/>
      <w:jc w:val="center"/>
    </w:pPr>
    <w:r>
      <w:rPr>
        <w:noProof/>
      </w:rPr>
      <w:drawing>
        <wp:inline distT="0" distB="0" distL="0" distR="0" wp14:anchorId="54A40277" wp14:editId="32FF6EEA">
          <wp:extent cx="5760720" cy="519430"/>
          <wp:effectExtent l="0" t="0" r="0" b="0"/>
          <wp:docPr id="223548463" name="Obraz 223548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692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18"/>
    <w:rsid w:val="00342542"/>
    <w:rsid w:val="004D5818"/>
    <w:rsid w:val="00671BBE"/>
    <w:rsid w:val="00796088"/>
    <w:rsid w:val="00861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3392E"/>
  <w15:chartTrackingRefBased/>
  <w15:docId w15:val="{AADBC2C0-3BE8-476A-A227-1974F98C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818"/>
  </w:style>
  <w:style w:type="paragraph" w:styleId="Nagwek1">
    <w:name w:val="heading 1"/>
    <w:basedOn w:val="Normalny"/>
    <w:next w:val="Normalny"/>
    <w:link w:val="Nagwek1Znak"/>
    <w:uiPriority w:val="9"/>
    <w:qFormat/>
    <w:rsid w:val="004D58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D58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581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D58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D581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58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D58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D58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D58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581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D58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581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D581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D581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D58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D58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D58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D58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D58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D58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D58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D58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D58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D58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D58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D581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D581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D581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D581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4D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D5818"/>
  </w:style>
  <w:style w:type="paragraph" w:styleId="Stopka">
    <w:name w:val="footer"/>
    <w:basedOn w:val="Normalny"/>
    <w:link w:val="StopkaZnak"/>
    <w:uiPriority w:val="99"/>
    <w:semiHidden/>
    <w:unhideWhenUsed/>
    <w:rsid w:val="004D58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D5818"/>
  </w:style>
  <w:style w:type="paragraph" w:customStyle="1" w:styleId="TableParagraph">
    <w:name w:val="Table Paragraph"/>
    <w:basedOn w:val="Normalny"/>
    <w:uiPriority w:val="1"/>
    <w:qFormat/>
    <w:rsid w:val="0034254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1245</Words>
  <Characters>7470</Characters>
  <Application>Microsoft Office Word</Application>
  <DocSecurity>0</DocSecurity>
  <Lines>62</Lines>
  <Paragraphs>17</Paragraphs>
  <ScaleCrop>false</ScaleCrop>
  <Company/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Kwiecińska</dc:creator>
  <cp:keywords/>
  <dc:description/>
  <cp:lastModifiedBy>Ewa Kwiecińska</cp:lastModifiedBy>
  <cp:revision>2</cp:revision>
  <dcterms:created xsi:type="dcterms:W3CDTF">2026-01-26T14:24:00Z</dcterms:created>
  <dcterms:modified xsi:type="dcterms:W3CDTF">2026-01-26T14:24:00Z</dcterms:modified>
</cp:coreProperties>
</file>